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D" w:rsidRDefault="00127139" w:rsidP="00F04B85">
      <w:pPr>
        <w:jc w:val="center"/>
        <w:rPr>
          <w:lang w:val="sr-Latn-CS"/>
        </w:rPr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r w:rsidR="000E6E32">
        <w:rPr>
          <w:lang w:val="sr-Latn-CS"/>
        </w:rPr>
        <w:t>- generacij</w:t>
      </w:r>
      <w:r w:rsidR="009202DE">
        <w:rPr>
          <w:lang w:val="sr-Latn-CS"/>
        </w:rPr>
        <w:t>e</w:t>
      </w:r>
      <w:r w:rsidR="000E6E32">
        <w:rPr>
          <w:lang w:val="sr-Latn-CS"/>
        </w:rPr>
        <w:t xml:space="preserve"> upisa </w:t>
      </w:r>
      <w:r w:rsidR="009202DE">
        <w:rPr>
          <w:lang w:val="sr-Latn-CS"/>
        </w:rPr>
        <w:t>2018/2019; 2017/2018; 2016/2017; 2015/2016; 2014/2015; i stariji</w:t>
      </w:r>
      <w:r w:rsidR="00C0543C">
        <w:rPr>
          <w:lang w:val="sr-Latn-CS"/>
        </w:rPr>
        <w:t xml:space="preserve"> – </w:t>
      </w:r>
      <w:r w:rsidR="0029153A" w:rsidRPr="0029153A">
        <w:rPr>
          <w:highlight w:val="yellow"/>
          <w:lang w:val="sr-Latn-CS"/>
        </w:rPr>
        <w:t>SVI</w:t>
      </w:r>
      <w:r w:rsidR="0029153A">
        <w:rPr>
          <w:lang w:val="sr-Latn-CS"/>
        </w:rPr>
        <w:t xml:space="preserve"> </w:t>
      </w:r>
      <w:r w:rsidR="006B4F89">
        <w:rPr>
          <w:lang w:val="sr-Latn-CS"/>
        </w:rPr>
        <w:t>status</w:t>
      </w:r>
      <w:r w:rsidR="00C0543C">
        <w:rPr>
          <w:lang w:val="sr-Latn-CS"/>
        </w:rPr>
        <w:t xml:space="preserve"> </w:t>
      </w:r>
      <w:r w:rsidR="006B4F89">
        <w:rPr>
          <w:lang w:val="sr-Latn-CS"/>
        </w:rPr>
        <w:t>„</w:t>
      </w:r>
      <w:r w:rsidR="00C0543C">
        <w:rPr>
          <w:lang w:val="sr-Latn-CS"/>
        </w:rPr>
        <w:t>samofinansiranje</w:t>
      </w:r>
      <w:r w:rsidR="006B4F89">
        <w:rPr>
          <w:lang w:val="sr-Latn-CS"/>
        </w:rPr>
        <w:t>“</w:t>
      </w:r>
    </w:p>
    <w:p w:rsidR="00C0543C" w:rsidRDefault="00C0543C" w:rsidP="000E6E32">
      <w:pPr>
        <w:jc w:val="center"/>
        <w:rPr>
          <w:lang w:val="sr-Latn-CS"/>
        </w:rPr>
      </w:pPr>
    </w:p>
    <w:p w:rsidR="009202DE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Studenti</w:t>
      </w:r>
      <w:r w:rsidR="00C0543C">
        <w:rPr>
          <w:sz w:val="24"/>
          <w:szCs w:val="24"/>
          <w:lang w:val="sr-Latn-CS"/>
        </w:rPr>
        <w:t xml:space="preserve"> </w:t>
      </w:r>
      <w:r w:rsidR="00C0543C" w:rsidRPr="003A1B07">
        <w:rPr>
          <w:sz w:val="24"/>
          <w:szCs w:val="24"/>
          <w:lang w:val="sr-Latn-CS"/>
        </w:rPr>
        <w:t>generacij</w:t>
      </w:r>
      <w:r w:rsidR="0029153A">
        <w:rPr>
          <w:sz w:val="24"/>
          <w:szCs w:val="24"/>
          <w:lang w:val="sr-Latn-CS"/>
        </w:rPr>
        <w:t>e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C0543C">
        <w:rPr>
          <w:sz w:val="24"/>
          <w:szCs w:val="24"/>
          <w:lang w:val="sr-Latn-CS"/>
        </w:rPr>
        <w:t>upisa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9202DE" w:rsidRPr="009202DE">
        <w:rPr>
          <w:sz w:val="24"/>
          <w:szCs w:val="24"/>
          <w:lang w:val="sr-Latn-CS"/>
        </w:rPr>
        <w:t>2018/2019; 2017/2018; 2016/2017; 2015/2016; 2014/2015; i stariji</w:t>
      </w:r>
      <w:r w:rsidR="009202DE">
        <w:rPr>
          <w:sz w:val="24"/>
          <w:szCs w:val="24"/>
          <w:lang w:val="sr-Latn-CS"/>
        </w:rPr>
        <w:t xml:space="preserve"> KOJIMA NIJE ISTEKAO TROSTRUKI BROJ GODINA STUDIRANJA (12 godina) </w:t>
      </w:r>
      <w:r w:rsidR="006B4F89">
        <w:rPr>
          <w:sz w:val="24"/>
          <w:szCs w:val="24"/>
          <w:lang w:val="sr-Latn-CS"/>
        </w:rPr>
        <w:t>upisuju se u statusu „samofinansiranje“</w:t>
      </w:r>
      <w:r>
        <w:rPr>
          <w:sz w:val="24"/>
          <w:szCs w:val="24"/>
          <w:lang w:val="sr-Latn-CS"/>
        </w:rPr>
        <w:t>.</w:t>
      </w:r>
      <w:r w:rsidR="00AC04AF">
        <w:rPr>
          <w:sz w:val="24"/>
          <w:szCs w:val="24"/>
          <w:lang w:val="sr-Latn-CS"/>
        </w:rPr>
        <w:t xml:space="preserve"> </w:t>
      </w:r>
    </w:p>
    <w:p w:rsidR="009202DE" w:rsidRDefault="00AC04AF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Studenti koji završavaju studije do 31.10.2025. godine, </w:t>
      </w:r>
      <w:r w:rsidR="00EE41D8">
        <w:rPr>
          <w:sz w:val="24"/>
          <w:szCs w:val="24"/>
          <w:lang w:val="sr-Latn-CS"/>
        </w:rPr>
        <w:t xml:space="preserve">odnosno do tada brane završni rad, </w:t>
      </w:r>
      <w:bookmarkStart w:id="0" w:name="_GoBack"/>
      <w:bookmarkEnd w:id="0"/>
      <w:r>
        <w:rPr>
          <w:sz w:val="24"/>
          <w:szCs w:val="24"/>
          <w:lang w:val="sr-Latn-CS"/>
        </w:rPr>
        <w:t xml:space="preserve">ne vrše upis. </w:t>
      </w:r>
    </w:p>
    <w:p w:rsidR="009202DE" w:rsidRPr="00EE41D8" w:rsidRDefault="00AC04AF" w:rsidP="00C0543C">
      <w:pPr>
        <w:jc w:val="both"/>
        <w:rPr>
          <w:sz w:val="24"/>
          <w:szCs w:val="24"/>
          <w:u w:val="single"/>
          <w:lang w:val="sr-Latn-CS"/>
        </w:rPr>
      </w:pPr>
      <w:r>
        <w:rPr>
          <w:sz w:val="24"/>
          <w:szCs w:val="24"/>
          <w:lang w:val="sr-Latn-CS"/>
        </w:rPr>
        <w:t>Studenti koji nastavljaju studije</w:t>
      </w:r>
      <w:r w:rsidR="00F96E8F">
        <w:rPr>
          <w:sz w:val="24"/>
          <w:szCs w:val="24"/>
          <w:lang w:val="sr-Latn-CS"/>
        </w:rPr>
        <w:t xml:space="preserve"> posle 31.10.2025. godine</w:t>
      </w:r>
      <w:r w:rsidR="009202DE">
        <w:rPr>
          <w:sz w:val="24"/>
          <w:szCs w:val="24"/>
          <w:lang w:val="sr-Latn-CS"/>
        </w:rPr>
        <w:t xml:space="preserve">, </w:t>
      </w:r>
      <w:r w:rsidR="009202DE" w:rsidRPr="00BF0721">
        <w:rPr>
          <w:sz w:val="24"/>
          <w:szCs w:val="24"/>
          <w:u w:val="single"/>
          <w:lang w:val="sr-Latn-CS"/>
        </w:rPr>
        <w:t xml:space="preserve">sem onih kojima ističe rok studiranja </w:t>
      </w:r>
      <w:r w:rsidR="00EE41D8">
        <w:rPr>
          <w:sz w:val="24"/>
          <w:szCs w:val="24"/>
          <w:u w:val="single"/>
          <w:lang w:val="sr-Latn-CS"/>
        </w:rPr>
        <w:t>(12 godina)</w:t>
      </w:r>
      <w:r w:rsidR="009202DE">
        <w:rPr>
          <w:sz w:val="24"/>
          <w:szCs w:val="24"/>
          <w:lang w:val="sr-Latn-CS"/>
        </w:rPr>
        <w:t>,</w:t>
      </w:r>
      <w:r>
        <w:rPr>
          <w:sz w:val="24"/>
          <w:szCs w:val="24"/>
          <w:lang w:val="sr-Latn-CS"/>
        </w:rPr>
        <w:t xml:space="preserve"> </w:t>
      </w:r>
      <w:r w:rsidR="00EE41D8">
        <w:rPr>
          <w:sz w:val="24"/>
          <w:szCs w:val="24"/>
          <w:lang w:val="sr-Latn-CS"/>
        </w:rPr>
        <w:t>u</w:t>
      </w:r>
      <w:r w:rsidR="0068335F">
        <w:rPr>
          <w:sz w:val="24"/>
          <w:szCs w:val="24"/>
          <w:lang w:val="sr-Latn-CS"/>
        </w:rPr>
        <w:t xml:space="preserve"> OBAVEZI</w:t>
      </w:r>
      <w:r>
        <w:rPr>
          <w:sz w:val="24"/>
          <w:szCs w:val="24"/>
          <w:lang w:val="sr-Latn-CS"/>
        </w:rPr>
        <w:t xml:space="preserve"> su da izvrše upis, kako ne bi izgubili status studenta</w:t>
      </w:r>
      <w:r w:rsidR="00F96E8F">
        <w:rPr>
          <w:sz w:val="24"/>
          <w:szCs w:val="24"/>
          <w:lang w:val="sr-Latn-CS"/>
        </w:rPr>
        <w:t xml:space="preserve"> (i u slučaju da je preostala samo odbrana završnog rada)</w:t>
      </w:r>
      <w:r>
        <w:rPr>
          <w:sz w:val="24"/>
          <w:szCs w:val="24"/>
          <w:lang w:val="sr-Latn-CS"/>
        </w:rPr>
        <w:t xml:space="preserve">. </w:t>
      </w:r>
    </w:p>
    <w:p w:rsidR="00187E63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</w:t>
      </w:r>
      <w:r w:rsidR="00C0543C">
        <w:rPr>
          <w:sz w:val="24"/>
          <w:szCs w:val="24"/>
          <w:lang w:val="sr-Latn-RS"/>
        </w:rPr>
        <w:t xml:space="preserve">pis će se  vršiti </w:t>
      </w:r>
      <w:r w:rsidR="009202DE">
        <w:rPr>
          <w:sz w:val="24"/>
          <w:szCs w:val="24"/>
          <w:lang w:val="sr-Latn-RS"/>
        </w:rPr>
        <w:t xml:space="preserve">na šalterima Službe za osnovne studije </w:t>
      </w:r>
      <w:r w:rsidR="00551B23">
        <w:rPr>
          <w:sz w:val="24"/>
          <w:szCs w:val="24"/>
          <w:lang w:val="sr-Latn-RS"/>
        </w:rPr>
        <w:t>po rasporedu koji možete pogledati niže</w:t>
      </w:r>
      <w:r w:rsidR="00C0543C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 xml:space="preserve"> </w:t>
      </w:r>
    </w:p>
    <w:p w:rsidR="009202DE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Preporučujemo da upis vršite lično, ali upis može obaviti i neko umesto Vas. </w:t>
      </w:r>
    </w:p>
    <w:p w:rsidR="00C0543C" w:rsidRDefault="009202DE" w:rsidP="00C0543C">
      <w:pPr>
        <w:jc w:val="both"/>
        <w:rPr>
          <w:sz w:val="24"/>
          <w:szCs w:val="24"/>
          <w:lang w:val="sr-Latn-CS"/>
        </w:rPr>
      </w:pPr>
      <w:r w:rsidRPr="009202DE">
        <w:rPr>
          <w:sz w:val="24"/>
          <w:szCs w:val="24"/>
          <w:u w:val="single"/>
          <w:lang w:val="sr-Latn-CS"/>
        </w:rPr>
        <w:t xml:space="preserve">VAŽNO: Studenti generacije upisa </w:t>
      </w:r>
      <w:r w:rsidRPr="009202DE">
        <w:rPr>
          <w:sz w:val="24"/>
          <w:szCs w:val="24"/>
          <w:highlight w:val="yellow"/>
          <w:u w:val="single"/>
          <w:lang w:val="sr-Latn-CS"/>
        </w:rPr>
        <w:t>2017/2018</w:t>
      </w:r>
      <w:r w:rsidRPr="009202DE">
        <w:rPr>
          <w:sz w:val="24"/>
          <w:szCs w:val="24"/>
          <w:u w:val="single"/>
          <w:lang w:val="sr-Latn-CS"/>
        </w:rPr>
        <w:t xml:space="preserve"> kojima ističe dvostruki broj godina studija, 8. godina, prilikom upisa predaju službeniku molbu za produženje roka studiranja do trostrukog broja godina trajanja studijskog programa</w:t>
      </w:r>
      <w:r>
        <w:rPr>
          <w:sz w:val="24"/>
          <w:szCs w:val="24"/>
          <w:lang w:val="sr-Latn-CS"/>
        </w:rPr>
        <w:t>.</w:t>
      </w:r>
    </w:p>
    <w:p w:rsidR="00C0543C" w:rsidRDefault="00C0543C" w:rsidP="00C0543C">
      <w:pPr>
        <w:jc w:val="both"/>
        <w:rPr>
          <w:sz w:val="24"/>
          <w:szCs w:val="24"/>
          <w:u w:val="single"/>
          <w:lang w:val="sr-Latn-CS"/>
        </w:rPr>
      </w:pPr>
      <w:r w:rsidRPr="003A1B07">
        <w:rPr>
          <w:sz w:val="24"/>
          <w:szCs w:val="24"/>
          <w:lang w:val="sr-Latn-CS"/>
        </w:rPr>
        <w:t xml:space="preserve">Napomena: </w:t>
      </w:r>
      <w:r>
        <w:rPr>
          <w:sz w:val="24"/>
          <w:szCs w:val="24"/>
          <w:u w:val="single"/>
          <w:lang w:val="sr-Latn-CS"/>
        </w:rPr>
        <w:t>Molimo studente da se pridržavaju rasporeda upisa i unapred pripreme dokumenta potrebna za upis, kako bismo, zajedno, što efikasnije, završili proceduru upisa.</w:t>
      </w:r>
    </w:p>
    <w:p w:rsidR="0029153A" w:rsidRDefault="0029153A" w:rsidP="00C0543C">
      <w:pPr>
        <w:jc w:val="both"/>
        <w:rPr>
          <w:sz w:val="24"/>
          <w:szCs w:val="24"/>
          <w:u w:val="single"/>
          <w:lang w:val="sr-Latn-CS"/>
        </w:rPr>
      </w:pPr>
    </w:p>
    <w:p w:rsidR="00EB0C18" w:rsidRDefault="00EB0C18" w:rsidP="00EB0C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367"/>
        <w:gridCol w:w="1042"/>
        <w:gridCol w:w="1377"/>
        <w:gridCol w:w="1682"/>
        <w:gridCol w:w="1701"/>
      </w:tblGrid>
      <w:tr w:rsidR="00F04B85" w:rsidRPr="003A1B07" w:rsidTr="00F04B85">
        <w:tc>
          <w:tcPr>
            <w:tcW w:w="1680" w:type="dxa"/>
            <w:vAlign w:val="center"/>
          </w:tcPr>
          <w:p w:rsidR="00F04B85" w:rsidRPr="003A1B07" w:rsidRDefault="00F04B85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367" w:type="dxa"/>
            <w:vAlign w:val="center"/>
          </w:tcPr>
          <w:p w:rsidR="00F04B85" w:rsidRPr="003A1B07" w:rsidRDefault="00F04B85" w:rsidP="00A7061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Status</w:t>
            </w:r>
            <w:r w:rsidRPr="003A1B07">
              <w:rPr>
                <w:sz w:val="24"/>
                <w:szCs w:val="24"/>
                <w:lang w:val="sr-Latn-CS"/>
              </w:rPr>
              <w:t xml:space="preserve"> u šk. 20</w:t>
            </w:r>
            <w:r>
              <w:rPr>
                <w:sz w:val="24"/>
                <w:szCs w:val="24"/>
                <w:lang w:val="sr-Latn-CS"/>
              </w:rPr>
              <w:t>25</w:t>
            </w:r>
            <w:r w:rsidRPr="003A1B07">
              <w:rPr>
                <w:sz w:val="24"/>
                <w:szCs w:val="24"/>
                <w:lang w:val="sr-Latn-CS"/>
              </w:rPr>
              <w:t>/</w:t>
            </w:r>
            <w:r>
              <w:rPr>
                <w:sz w:val="24"/>
                <w:szCs w:val="24"/>
                <w:lang w:val="sr-Latn-CS"/>
              </w:rPr>
              <w:t>26</w:t>
            </w:r>
          </w:p>
        </w:tc>
        <w:tc>
          <w:tcPr>
            <w:tcW w:w="1042" w:type="dxa"/>
            <w:vAlign w:val="center"/>
          </w:tcPr>
          <w:p w:rsidR="00F04B85" w:rsidRPr="003A1B07" w:rsidRDefault="00F04B85" w:rsidP="00F04B85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Vreme</w:t>
            </w:r>
          </w:p>
        </w:tc>
        <w:tc>
          <w:tcPr>
            <w:tcW w:w="1377" w:type="dxa"/>
            <w:vAlign w:val="center"/>
          </w:tcPr>
          <w:p w:rsidR="00F04B85" w:rsidRPr="003A1B07" w:rsidRDefault="00F04B85" w:rsidP="00F04B85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Gen.upisa</w:t>
            </w:r>
          </w:p>
        </w:tc>
        <w:tc>
          <w:tcPr>
            <w:tcW w:w="1682" w:type="dxa"/>
            <w:vAlign w:val="center"/>
          </w:tcPr>
          <w:p w:rsidR="00F04B85" w:rsidRPr="003A1B07" w:rsidRDefault="00F04B85" w:rsidP="00F04B85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1701" w:type="dxa"/>
          </w:tcPr>
          <w:p w:rsidR="00F04B85" w:rsidRDefault="00F04B85" w:rsidP="00D61681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</w:t>
            </w:r>
          </w:p>
          <w:p w:rsidR="00F04B85" w:rsidRPr="003A1B07" w:rsidRDefault="00F04B85" w:rsidP="00551B2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Mesto</w:t>
            </w:r>
          </w:p>
        </w:tc>
      </w:tr>
      <w:tr w:rsidR="00F04B85" w:rsidRPr="003A1B07" w:rsidTr="00F04B85">
        <w:trPr>
          <w:trHeight w:val="1656"/>
        </w:trPr>
        <w:tc>
          <w:tcPr>
            <w:tcW w:w="1680" w:type="dxa"/>
            <w:vAlign w:val="center"/>
          </w:tcPr>
          <w:p w:rsidR="00F04B85" w:rsidRDefault="00F04B85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25.10.2025.</w:t>
            </w:r>
          </w:p>
          <w:p w:rsidR="00F04B85" w:rsidRPr="003A1B07" w:rsidRDefault="00F04B85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SUBOTA</w:t>
            </w:r>
          </w:p>
        </w:tc>
        <w:tc>
          <w:tcPr>
            <w:tcW w:w="2367" w:type="dxa"/>
            <w:vAlign w:val="center"/>
          </w:tcPr>
          <w:p w:rsidR="00F04B85" w:rsidRDefault="00F04B85" w:rsidP="00A7061D">
            <w:pPr>
              <w:jc w:val="center"/>
              <w:rPr>
                <w:sz w:val="24"/>
                <w:szCs w:val="24"/>
                <w:lang w:val="sr-Latn-CS"/>
              </w:rPr>
            </w:pPr>
            <w:r w:rsidRPr="00F04B85">
              <w:rPr>
                <w:sz w:val="24"/>
                <w:szCs w:val="24"/>
                <w:lang w:val="sr-Latn-CS"/>
              </w:rPr>
              <w:t>Samofinansiranje</w:t>
            </w:r>
          </w:p>
          <w:p w:rsidR="00F04B85" w:rsidRPr="003A1B07" w:rsidRDefault="00F04B85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1042" w:type="dxa"/>
            <w:vAlign w:val="center"/>
          </w:tcPr>
          <w:p w:rsidR="00F04B85" w:rsidRDefault="00105CA7" w:rsidP="005A1CFD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</w:t>
            </w:r>
            <w:r w:rsidR="00F04B85" w:rsidRPr="00105CA7">
              <w:rPr>
                <w:sz w:val="24"/>
                <w:szCs w:val="24"/>
                <w:highlight w:val="yellow"/>
                <w:lang w:val="sr-Latn-CS"/>
              </w:rPr>
              <w:t>9.00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10.00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cyan"/>
                <w:lang w:val="sr-Latn-CS"/>
              </w:rPr>
              <w:t>11.00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magenta"/>
                <w:lang w:val="sr-Latn-CS"/>
              </w:rPr>
              <w:t>12.00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yellow"/>
                <w:lang w:val="sr-Latn-CS"/>
              </w:rPr>
              <w:t>13.00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15.00</w:t>
            </w:r>
          </w:p>
          <w:p w:rsidR="00F04B85" w:rsidRPr="003A1B07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cyan"/>
                <w:lang w:val="sr-Latn-CS"/>
              </w:rPr>
              <w:t>16.00</w:t>
            </w:r>
          </w:p>
        </w:tc>
        <w:tc>
          <w:tcPr>
            <w:tcW w:w="1377" w:type="dxa"/>
            <w:vAlign w:val="center"/>
          </w:tcPr>
          <w:p w:rsidR="00F04B85" w:rsidRDefault="00F04B85" w:rsidP="00F04B85">
            <w:pPr>
              <w:rPr>
                <w:sz w:val="24"/>
                <w:szCs w:val="24"/>
                <w:lang w:val="sr-Latn-CS"/>
              </w:rPr>
            </w:pPr>
          </w:p>
          <w:p w:rsidR="00105CA7" w:rsidRDefault="00105CA7" w:rsidP="00F04B85">
            <w:pPr>
              <w:rPr>
                <w:sz w:val="24"/>
                <w:szCs w:val="24"/>
                <w:lang w:val="sr-Latn-CS"/>
              </w:rPr>
            </w:pPr>
          </w:p>
          <w:p w:rsidR="00F04B85" w:rsidRDefault="00F04B85" w:rsidP="00F04B85">
            <w:pPr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yellow"/>
                <w:lang w:val="sr-Latn-CS"/>
              </w:rPr>
              <w:t>2018/2019</w:t>
            </w:r>
          </w:p>
          <w:p w:rsidR="00F04B85" w:rsidRDefault="00F04B85" w:rsidP="00F04B85">
            <w:pPr>
              <w:jc w:val="center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2018/2019</w:t>
            </w:r>
            <w:r w:rsidRPr="009202DE">
              <w:rPr>
                <w:sz w:val="24"/>
                <w:szCs w:val="24"/>
                <w:lang w:val="sr-Latn-CS"/>
              </w:rPr>
              <w:t xml:space="preserve"> 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2017/2018</w:t>
            </w:r>
          </w:p>
          <w:p w:rsidR="00F04B85" w:rsidRDefault="00F04B85" w:rsidP="00F04B85">
            <w:pPr>
              <w:jc w:val="center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magenta"/>
                <w:lang w:val="sr-Latn-CS"/>
              </w:rPr>
              <w:t>2017/2018</w:t>
            </w:r>
            <w:r w:rsidRPr="009202DE">
              <w:rPr>
                <w:sz w:val="24"/>
                <w:szCs w:val="24"/>
                <w:lang w:val="sr-Latn-CS"/>
              </w:rPr>
              <w:t xml:space="preserve"> </w:t>
            </w:r>
          </w:p>
          <w:p w:rsidR="00F04B85" w:rsidRDefault="00F04B85" w:rsidP="00F04B85">
            <w:pPr>
              <w:jc w:val="center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yellow"/>
                <w:lang w:val="sr-Latn-CS"/>
              </w:rPr>
              <w:t>2016/2017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 w:rsidRPr="00105CA7">
              <w:rPr>
                <w:sz w:val="24"/>
                <w:szCs w:val="24"/>
                <w:highlight w:val="green"/>
                <w:lang w:val="sr-Latn-CS"/>
              </w:rPr>
              <w:t>2015/2016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2014/2015</w:t>
            </w:r>
            <w:r w:rsidRPr="009202DE">
              <w:rPr>
                <w:sz w:val="24"/>
                <w:szCs w:val="24"/>
                <w:lang w:val="sr-Latn-CS"/>
              </w:rPr>
              <w:t xml:space="preserve"> i stariji</w:t>
            </w:r>
          </w:p>
          <w:p w:rsidR="00F04B85" w:rsidRPr="003A1B07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82" w:type="dxa"/>
            <w:vAlign w:val="center"/>
          </w:tcPr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yellow"/>
                <w:lang w:val="sr-Latn-CS"/>
              </w:rPr>
              <w:t>1-440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441-1069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cyan"/>
                <w:lang w:val="sr-Latn-CS"/>
              </w:rPr>
              <w:t>1-490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magenta"/>
                <w:lang w:val="sr-Latn-CS"/>
              </w:rPr>
              <w:t>491-2055</w:t>
            </w:r>
          </w:p>
          <w:p w:rsidR="00F04B85" w:rsidRDefault="00105CA7" w:rsidP="005A1CFD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highlight w:val="yellow"/>
                <w:lang w:val="sr-Latn-CS"/>
              </w:rPr>
              <w:t>s</w:t>
            </w:r>
            <w:r w:rsidR="00F04B85" w:rsidRPr="00105CA7">
              <w:rPr>
                <w:sz w:val="24"/>
                <w:szCs w:val="24"/>
                <w:highlight w:val="yellow"/>
                <w:lang w:val="sr-Latn-CS"/>
              </w:rPr>
              <w:t>vi</w:t>
            </w:r>
          </w:p>
          <w:p w:rsidR="00F04B85" w:rsidRDefault="00105CA7" w:rsidP="005A1CFD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highlight w:val="green"/>
                <w:lang w:val="sr-Latn-CS"/>
              </w:rPr>
              <w:t>s</w:t>
            </w:r>
            <w:r w:rsidR="00F04B85" w:rsidRPr="00105CA7">
              <w:rPr>
                <w:sz w:val="24"/>
                <w:szCs w:val="24"/>
                <w:highlight w:val="green"/>
                <w:lang w:val="sr-Latn-CS"/>
              </w:rPr>
              <w:t>vi</w:t>
            </w:r>
          </w:p>
          <w:p w:rsidR="00F04B85" w:rsidRPr="003A1B07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cyan"/>
                <w:lang w:val="sr-Latn-CS"/>
              </w:rPr>
              <w:t>svi</w:t>
            </w:r>
          </w:p>
        </w:tc>
        <w:tc>
          <w:tcPr>
            <w:tcW w:w="1701" w:type="dxa"/>
          </w:tcPr>
          <w:p w:rsidR="00F04B85" w:rsidRDefault="00F04B85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105CA7" w:rsidRDefault="00105CA7" w:rsidP="005A1CFD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105CA7" w:rsidRDefault="00105CA7" w:rsidP="005A1CFD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F04B85" w:rsidRPr="003A1B07" w:rsidRDefault="00F04B85" w:rsidP="005A1CF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Šalteri Službe za osnovne studije</w:t>
            </w:r>
          </w:p>
        </w:tc>
      </w:tr>
    </w:tbl>
    <w:p w:rsidR="00187E63" w:rsidRDefault="00187E63" w:rsidP="00C0543C">
      <w:pPr>
        <w:rPr>
          <w:sz w:val="24"/>
          <w:szCs w:val="24"/>
        </w:rPr>
      </w:pPr>
    </w:p>
    <w:p w:rsidR="00FB226F" w:rsidRPr="003A1B07" w:rsidRDefault="00FB226F" w:rsidP="00FB226F">
      <w:p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lastRenderedPageBreak/>
        <w:t>Potrebna dokumenta</w:t>
      </w:r>
      <w:r>
        <w:rPr>
          <w:sz w:val="24"/>
          <w:szCs w:val="24"/>
          <w:lang w:val="sr-Latn-CS"/>
        </w:rPr>
        <w:t xml:space="preserve"> – </w:t>
      </w:r>
      <w:r w:rsidRPr="00551B23">
        <w:rPr>
          <w:sz w:val="24"/>
          <w:szCs w:val="24"/>
          <w:highlight w:val="yellow"/>
          <w:lang w:val="sr-Latn-CS"/>
        </w:rPr>
        <w:t>samofinansirajući studenti: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Indeks,</w:t>
      </w:r>
    </w:p>
    <w:p w:rsidR="00FB226F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ŠV-20</w:t>
      </w:r>
      <w:r>
        <w:rPr>
          <w:sz w:val="24"/>
          <w:szCs w:val="24"/>
          <w:lang w:val="sr-Latn-CS"/>
        </w:rPr>
        <w:t xml:space="preserve"> obrazac – ponesite popunjen ŠV-20 obrazac</w:t>
      </w:r>
      <w:r w:rsidRPr="003A1B07">
        <w:rPr>
          <w:sz w:val="24"/>
          <w:szCs w:val="24"/>
          <w:lang w:val="sr-Latn-CS"/>
        </w:rPr>
        <w:t xml:space="preserve">, </w:t>
      </w:r>
      <w:r w:rsidR="00187E63">
        <w:rPr>
          <w:sz w:val="24"/>
          <w:szCs w:val="24"/>
          <w:lang w:val="sr-Latn-CS"/>
        </w:rPr>
        <w:t>odštam</w:t>
      </w:r>
      <w:r w:rsidR="007E1974">
        <w:rPr>
          <w:sz w:val="24"/>
          <w:szCs w:val="24"/>
          <w:lang w:val="sr-Latn-CS"/>
        </w:rPr>
        <w:t>pan dvostrano (na jednom papiru)</w:t>
      </w:r>
    </w:p>
    <w:p w:rsidR="00FB226F" w:rsidRPr="00435F2C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Uplatnica</w:t>
      </w:r>
      <w:proofErr w:type="spellEnd"/>
      <w:r w:rsidRPr="00435F2C">
        <w:rPr>
          <w:sz w:val="24"/>
          <w:szCs w:val="24"/>
        </w:rPr>
        <w:t xml:space="preserve"> u </w:t>
      </w:r>
      <w:proofErr w:type="spellStart"/>
      <w:r w:rsidRPr="00435F2C">
        <w:rPr>
          <w:sz w:val="24"/>
          <w:szCs w:val="24"/>
        </w:rPr>
        <w:t>iznosu</w:t>
      </w:r>
      <w:proofErr w:type="spellEnd"/>
      <w:r w:rsidRPr="00435F2C">
        <w:rPr>
          <w:sz w:val="24"/>
          <w:szCs w:val="24"/>
        </w:rPr>
        <w:t xml:space="preserve"> od </w:t>
      </w:r>
      <w:r w:rsidR="00A7061D">
        <w:rPr>
          <w:sz w:val="24"/>
          <w:szCs w:val="24"/>
        </w:rPr>
        <w:t>3</w:t>
      </w:r>
      <w:r w:rsidRPr="00435F2C">
        <w:rPr>
          <w:sz w:val="24"/>
          <w:szCs w:val="24"/>
        </w:rPr>
        <w:t xml:space="preserve">00,00 </w:t>
      </w:r>
      <w:proofErr w:type="spellStart"/>
      <w:r w:rsidRPr="00435F2C">
        <w:rPr>
          <w:sz w:val="24"/>
          <w:szCs w:val="24"/>
        </w:rPr>
        <w:t>dinara</w:t>
      </w:r>
      <w:proofErr w:type="spellEnd"/>
      <w:r w:rsidR="00B060FC">
        <w:rPr>
          <w:sz w:val="24"/>
          <w:szCs w:val="24"/>
        </w:rPr>
        <w:t xml:space="preserve"> – </w:t>
      </w:r>
      <w:proofErr w:type="spellStart"/>
      <w:r w:rsidR="00B060FC">
        <w:rPr>
          <w:sz w:val="24"/>
          <w:szCs w:val="24"/>
        </w:rPr>
        <w:t>Univerzitet</w:t>
      </w:r>
      <w:proofErr w:type="spellEnd"/>
      <w:r w:rsidR="00B060FC">
        <w:rPr>
          <w:sz w:val="24"/>
          <w:szCs w:val="24"/>
        </w:rPr>
        <w:t xml:space="preserve"> u </w:t>
      </w:r>
      <w:proofErr w:type="spellStart"/>
      <w:r w:rsidR="00B060FC">
        <w:rPr>
          <w:sz w:val="24"/>
          <w:szCs w:val="24"/>
        </w:rPr>
        <w:t>Beogradu</w:t>
      </w:r>
      <w:proofErr w:type="spellEnd"/>
    </w:p>
    <w:p w:rsidR="00FB226F" w:rsidRPr="007E1974" w:rsidRDefault="00FB226F" w:rsidP="007E1974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7E1974">
        <w:rPr>
          <w:sz w:val="24"/>
          <w:szCs w:val="24"/>
        </w:rPr>
        <w:t>Svrha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uplate</w:t>
      </w:r>
      <w:proofErr w:type="spellEnd"/>
      <w:r w:rsidRPr="007E1974">
        <w:rPr>
          <w:sz w:val="24"/>
          <w:szCs w:val="24"/>
        </w:rPr>
        <w:t xml:space="preserve">: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Univerzitetski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centar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razvoj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karijere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savetovanje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studenata</w:t>
      </w:r>
      <w:proofErr w:type="spellEnd"/>
    </w:p>
    <w:p w:rsidR="00FB226F" w:rsidRPr="00B060FC" w:rsidRDefault="00FB226F" w:rsidP="00B060FC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Žiro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račun</w:t>
      </w:r>
      <w:proofErr w:type="spellEnd"/>
      <w:r w:rsidRPr="00435F2C">
        <w:rPr>
          <w:sz w:val="24"/>
          <w:szCs w:val="24"/>
        </w:rPr>
        <w:t>: 840-1344666-69</w:t>
      </w:r>
      <w:r w:rsidR="00B060FC">
        <w:rPr>
          <w:sz w:val="24"/>
          <w:szCs w:val="24"/>
        </w:rPr>
        <w:t xml:space="preserve">; </w:t>
      </w:r>
      <w:proofErr w:type="spellStart"/>
      <w:r w:rsidRPr="00B060FC">
        <w:rPr>
          <w:sz w:val="24"/>
          <w:szCs w:val="24"/>
        </w:rPr>
        <w:t>Poziv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na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broj</w:t>
      </w:r>
      <w:proofErr w:type="spellEnd"/>
      <w:r w:rsidRPr="00B060FC">
        <w:rPr>
          <w:sz w:val="24"/>
          <w:szCs w:val="24"/>
        </w:rPr>
        <w:t>: 742121-50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 xml:space="preserve">Uplata </w:t>
      </w:r>
      <w:r w:rsidR="006B4F89">
        <w:rPr>
          <w:sz w:val="24"/>
          <w:szCs w:val="24"/>
          <w:lang w:val="sr-Latn-CS"/>
        </w:rPr>
        <w:t>školarine</w:t>
      </w:r>
      <w:r w:rsidRPr="003A1B07">
        <w:rPr>
          <w:sz w:val="24"/>
          <w:szCs w:val="24"/>
          <w:lang w:val="sr-Latn-CS"/>
        </w:rPr>
        <w:t xml:space="preserve"> </w:t>
      </w:r>
      <w:r w:rsidR="006B4F89">
        <w:rPr>
          <w:sz w:val="24"/>
          <w:szCs w:val="24"/>
          <w:lang w:val="sr-Latn-CS"/>
        </w:rPr>
        <w:t xml:space="preserve">za prvu ratu u iznosu od 30.000,00 dinara </w:t>
      </w:r>
      <w:r w:rsidR="00B060FC">
        <w:rPr>
          <w:sz w:val="24"/>
          <w:szCs w:val="24"/>
          <w:lang w:val="sr-Latn-CS"/>
        </w:rPr>
        <w:t xml:space="preserve"> – Fakultet organizacionih nauka</w:t>
      </w:r>
    </w:p>
    <w:p w:rsidR="00C0543C" w:rsidRDefault="00FB226F" w:rsidP="00631619">
      <w:pPr>
        <w:pStyle w:val="ListParagraph"/>
        <w:jc w:val="both"/>
        <w:rPr>
          <w:sz w:val="24"/>
          <w:szCs w:val="24"/>
          <w:bdr w:val="single" w:sz="4" w:space="0" w:color="auto"/>
          <w:lang w:val="sr-Latn-CS"/>
        </w:rPr>
      </w:pPr>
      <w:r w:rsidRPr="003A1B07">
        <w:rPr>
          <w:sz w:val="24"/>
          <w:szCs w:val="24"/>
          <w:lang w:val="sr-Latn-CS"/>
        </w:rPr>
        <w:t xml:space="preserve">žiro račun: 840-1344666-69 model </w:t>
      </w:r>
      <w:r w:rsidRPr="003A1B07">
        <w:rPr>
          <w:sz w:val="24"/>
          <w:szCs w:val="24"/>
          <w:bdr w:val="single" w:sz="4" w:space="0" w:color="auto"/>
          <w:lang w:val="sr-Latn-CS"/>
        </w:rPr>
        <w:t>97</w:t>
      </w:r>
      <w:r w:rsidRPr="003A1B07">
        <w:rPr>
          <w:sz w:val="24"/>
          <w:szCs w:val="24"/>
          <w:lang w:val="sr-Latn-CS"/>
        </w:rPr>
        <w:t xml:space="preserve"> Poziv na broj </w:t>
      </w:r>
      <w:r>
        <w:rPr>
          <w:sz w:val="24"/>
          <w:szCs w:val="24"/>
          <w:bdr w:val="single" w:sz="4" w:space="0" w:color="auto"/>
          <w:lang w:val="sr-Latn-CS"/>
        </w:rPr>
        <w:t>videti iz vašeg dosijea/e-student</w:t>
      </w:r>
      <w:r w:rsidRPr="003A1B07">
        <w:rPr>
          <w:sz w:val="24"/>
          <w:szCs w:val="24"/>
          <w:bdr w:val="single" w:sz="4" w:space="0" w:color="auto"/>
          <w:lang w:val="sr-Latn-CS"/>
        </w:rPr>
        <w:t xml:space="preserve"> </w:t>
      </w:r>
      <w:r w:rsidR="00F04B85">
        <w:rPr>
          <w:sz w:val="24"/>
          <w:szCs w:val="24"/>
          <w:lang w:val="sr-Latn-CS"/>
        </w:rPr>
        <w:t xml:space="preserve">(za studente koji upisuju </w:t>
      </w:r>
      <w:r w:rsidR="00F04B85" w:rsidRPr="009202DE">
        <w:rPr>
          <w:sz w:val="24"/>
          <w:szCs w:val="24"/>
          <w:highlight w:val="yellow"/>
          <w:lang w:val="sr-Latn-CS"/>
        </w:rPr>
        <w:t>četvrtu godinu treći i viši put</w:t>
      </w:r>
      <w:r w:rsidR="00F04B85">
        <w:rPr>
          <w:sz w:val="24"/>
          <w:szCs w:val="24"/>
          <w:lang w:val="sr-Latn-CS"/>
        </w:rPr>
        <w:t xml:space="preserve"> važi cena i dinamika iz tabele ispod i plaćaju iznos </w:t>
      </w:r>
      <w:r w:rsidR="00F04B85">
        <w:rPr>
          <w:sz w:val="24"/>
          <w:szCs w:val="24"/>
          <w:lang w:val="sr-Latn-CS"/>
        </w:rPr>
        <w:t>prve rate prema dinamici</w:t>
      </w:r>
      <w:r w:rsidR="00F04B85">
        <w:rPr>
          <w:sz w:val="24"/>
          <w:szCs w:val="24"/>
          <w:lang w:val="sr-Latn-CS"/>
        </w:rPr>
        <w:t xml:space="preserve"> </w:t>
      </w:r>
      <w:r w:rsidR="00F04B85">
        <w:rPr>
          <w:sz w:val="24"/>
          <w:szCs w:val="24"/>
          <w:lang w:val="sr-Latn-CS"/>
        </w:rPr>
        <w:t>iz tabele</w:t>
      </w:r>
      <w:r w:rsidR="00F04B85">
        <w:rPr>
          <w:sz w:val="24"/>
          <w:szCs w:val="24"/>
          <w:lang w:val="sr-Latn-CS"/>
        </w:rPr>
        <w:t>)</w:t>
      </w:r>
      <w:r w:rsidR="00F04B85">
        <w:rPr>
          <w:sz w:val="24"/>
          <w:szCs w:val="24"/>
          <w:lang w:val="sr-Latn-CS"/>
        </w:rPr>
        <w:t>.</w:t>
      </w:r>
    </w:p>
    <w:p w:rsidR="00F96E8F" w:rsidRPr="00F96E8F" w:rsidRDefault="00F96E8F" w:rsidP="00F96E8F">
      <w:pPr>
        <w:jc w:val="both"/>
        <w:rPr>
          <w:sz w:val="24"/>
          <w:szCs w:val="24"/>
          <w:bdr w:val="single" w:sz="4" w:space="0" w:color="auto"/>
          <w:lang w:val="sr-Latn-CS"/>
        </w:rPr>
      </w:pPr>
    </w:p>
    <w:p w:rsidR="00E07128" w:rsidRDefault="00E07128" w:rsidP="00E07128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Iznos školarine za studente koji upisuju </w:t>
      </w:r>
      <w:r w:rsidRPr="0046444A">
        <w:rPr>
          <w:sz w:val="24"/>
          <w:szCs w:val="24"/>
          <w:u w:val="single"/>
          <w:lang w:val="sr-Latn-CS"/>
        </w:rPr>
        <w:t>četvrtu godinu treći i viši put</w:t>
      </w:r>
      <w:r>
        <w:rPr>
          <w:sz w:val="24"/>
          <w:szCs w:val="24"/>
          <w:lang w:val="sr-Latn-CS"/>
        </w:rPr>
        <w:t xml:space="preserve"> (ukupan broj ESPB bodova, broj rata i iznos školarine): </w:t>
      </w:r>
    </w:p>
    <w:p w:rsidR="006B4F89" w:rsidRDefault="006B4F89" w:rsidP="00EB0C18">
      <w:pPr>
        <w:jc w:val="both"/>
        <w:rPr>
          <w:sz w:val="24"/>
          <w:szCs w:val="24"/>
          <w:lang w:val="sr-Latn-CS"/>
        </w:rPr>
      </w:pPr>
    </w:p>
    <w:tbl>
      <w:tblPr>
        <w:tblW w:w="516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16"/>
        <w:gridCol w:w="851"/>
        <w:gridCol w:w="793"/>
        <w:gridCol w:w="800"/>
        <w:gridCol w:w="820"/>
        <w:gridCol w:w="820"/>
      </w:tblGrid>
      <w:tr w:rsidR="006B4F89" w:rsidRPr="00767CFB" w:rsidTr="00267111">
        <w:trPr>
          <w:trHeight w:val="5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342" w:lineRule="exact"/>
              <w:ind w:right="4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221-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23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</w:t>
            </w:r>
            <w:r w:rsidRPr="00767CFB">
              <w:rPr>
                <w:bCs w:val="0"/>
                <w:w w:val="99"/>
                <w:sz w:val="22"/>
                <w:szCs w:val="22"/>
              </w:rPr>
              <w:t>1-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 xml:space="preserve">    </w:t>
            </w:r>
            <w:r w:rsidRPr="00767CFB">
              <w:rPr>
                <w:bCs w:val="0"/>
                <w:w w:val="99"/>
                <w:sz w:val="22"/>
                <w:szCs w:val="22"/>
              </w:rPr>
              <w:t>22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191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</w:rPr>
              <w:t>2</w:t>
            </w: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181</w:t>
            </w:r>
            <w:r w:rsidRPr="00767CFB">
              <w:rPr>
                <w:bCs w:val="0"/>
                <w:w w:val="99"/>
                <w:sz w:val="22"/>
                <w:szCs w:val="22"/>
              </w:rPr>
              <w:t>-</w:t>
            </w:r>
          </w:p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190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213" w:lineRule="exac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bCs w:val="0"/>
                <w:w w:val="99"/>
                <w:sz w:val="22"/>
                <w:szCs w:val="22"/>
                <w:lang w:val="sr-Cyrl-RS"/>
              </w:rPr>
              <w:t>Мање од 180</w:t>
            </w:r>
          </w:p>
        </w:tc>
      </w:tr>
      <w:tr w:rsidR="006B4F89" w:rsidRPr="00767CFB" w:rsidTr="00267111">
        <w:trPr>
          <w:trHeight w:val="36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0"/>
              <w:jc w:val="center"/>
              <w:rPr>
                <w:sz w:val="22"/>
                <w:szCs w:val="22"/>
              </w:rPr>
            </w:pPr>
            <w:r w:rsidRPr="00767CFB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18.000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27.000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40.000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58.000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78.000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98.000</w:t>
            </w:r>
          </w:p>
        </w:tc>
      </w:tr>
      <w:tr w:rsidR="006B4F89" w:rsidRPr="00767CFB" w:rsidTr="00267111">
        <w:trPr>
          <w:trHeight w:val="36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40"/>
              <w:jc w:val="center"/>
              <w:rPr>
                <w:bCs w:val="0"/>
                <w:sz w:val="22"/>
                <w:szCs w:val="22"/>
                <w:lang w:val="sr-Cyrl-RS"/>
              </w:rPr>
            </w:pPr>
            <w:r w:rsidRPr="00767CFB">
              <w:rPr>
                <w:bCs w:val="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4F89" w:rsidRPr="00767CFB" w:rsidRDefault="006B4F89" w:rsidP="00267111">
            <w:pPr>
              <w:spacing w:line="264" w:lineRule="atLeast"/>
              <w:jc w:val="center"/>
              <w:rPr>
                <w:sz w:val="22"/>
                <w:szCs w:val="22"/>
                <w:lang w:val="sr-Cyrl-RS"/>
              </w:rPr>
            </w:pPr>
            <w:r w:rsidRPr="00767CFB">
              <w:rPr>
                <w:sz w:val="22"/>
                <w:szCs w:val="22"/>
                <w:lang w:val="sr-Cyrl-RS"/>
              </w:rPr>
              <w:t>3</w:t>
            </w:r>
          </w:p>
        </w:tc>
      </w:tr>
    </w:tbl>
    <w:p w:rsidR="006B4F89" w:rsidRDefault="006B4F89" w:rsidP="00EB0C18">
      <w:pPr>
        <w:jc w:val="both"/>
        <w:rPr>
          <w:sz w:val="24"/>
          <w:szCs w:val="24"/>
          <w:lang w:val="sr-Latn-CS"/>
        </w:rPr>
      </w:pPr>
    </w:p>
    <w:p w:rsidR="0068335F" w:rsidRDefault="00EB0C18" w:rsidP="00187E63">
      <w:pPr>
        <w:jc w:val="both"/>
        <w:rPr>
          <w:sz w:val="24"/>
          <w:szCs w:val="24"/>
          <w:lang w:val="sr-Latn-CS"/>
        </w:rPr>
      </w:pPr>
      <w:r w:rsidRPr="00FB226F">
        <w:rPr>
          <w:sz w:val="24"/>
          <w:szCs w:val="24"/>
          <w:highlight w:val="yellow"/>
          <w:lang w:val="sr-Latn-CS"/>
        </w:rPr>
        <w:t>VAŽNO:</w:t>
      </w:r>
      <w:r w:rsidRPr="003A1B07">
        <w:rPr>
          <w:sz w:val="24"/>
          <w:szCs w:val="24"/>
          <w:lang w:val="sr-Latn-CS"/>
        </w:rPr>
        <w:t xml:space="preserve"> Biranje predmeta za slušanje u šk. 20</w:t>
      </w:r>
      <w:r w:rsidR="00FA0855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5</w:t>
      </w:r>
      <w:r w:rsidRPr="003A1B07">
        <w:rPr>
          <w:sz w:val="24"/>
          <w:szCs w:val="24"/>
          <w:lang w:val="sr-Latn-CS"/>
        </w:rPr>
        <w:t>/</w:t>
      </w:r>
      <w:r w:rsidR="00D77D92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6</w:t>
      </w:r>
      <w:r w:rsidR="000E6E32">
        <w:rPr>
          <w:sz w:val="24"/>
          <w:szCs w:val="24"/>
          <w:lang w:val="sr-Latn-CS"/>
        </w:rPr>
        <w:t>.g</w:t>
      </w:r>
      <w:r w:rsidRPr="003A1B07">
        <w:rPr>
          <w:sz w:val="24"/>
          <w:szCs w:val="24"/>
          <w:lang w:val="sr-Latn-CS"/>
        </w:rPr>
        <w:t>, vrši se preko aplikacije (</w:t>
      </w:r>
      <w:r w:rsidR="00631619">
        <w:rPr>
          <w:sz w:val="24"/>
          <w:szCs w:val="24"/>
          <w:lang w:val="sr-Latn-CS"/>
        </w:rPr>
        <w:t>E-student</w:t>
      </w:r>
      <w:r w:rsidRPr="003A1B07">
        <w:rPr>
          <w:sz w:val="24"/>
          <w:szCs w:val="24"/>
          <w:lang w:val="sr-Latn-CS"/>
        </w:rPr>
        <w:t xml:space="preserve">) </w:t>
      </w:r>
      <w:r w:rsidR="00A7061D" w:rsidRPr="00187E63">
        <w:rPr>
          <w:sz w:val="24"/>
          <w:szCs w:val="24"/>
          <w:highlight w:val="yellow"/>
          <w:lang w:val="sr-Latn-CS"/>
        </w:rPr>
        <w:t>NAJKASNIJE DO 31.10.2025. godine.</w:t>
      </w:r>
      <w:r w:rsidR="00A7061D">
        <w:rPr>
          <w:sz w:val="24"/>
          <w:szCs w:val="24"/>
          <w:lang w:val="sr-Latn-CS"/>
        </w:rPr>
        <w:t xml:space="preserve"> </w:t>
      </w:r>
      <w:r w:rsidR="00A7061D" w:rsidRPr="00A7061D">
        <w:rPr>
          <w:sz w:val="28"/>
          <w:szCs w:val="28"/>
          <w:u w:val="single"/>
          <w:lang w:val="sr-Latn-CS"/>
        </w:rPr>
        <w:t>Biće omogućeno da sami prijavite DO 90 ESPB bodova, kao dodatne bodove</w:t>
      </w:r>
      <w:r w:rsidR="006B4F89">
        <w:rPr>
          <w:sz w:val="28"/>
          <w:szCs w:val="28"/>
          <w:u w:val="single"/>
          <w:lang w:val="sr-Latn-CS"/>
        </w:rPr>
        <w:t xml:space="preserve"> (preko 60 ESPB bodova)</w:t>
      </w:r>
      <w:r w:rsidR="00A7061D">
        <w:rPr>
          <w:sz w:val="24"/>
          <w:szCs w:val="24"/>
          <w:lang w:val="sr-Latn-CS"/>
        </w:rPr>
        <w:t xml:space="preserve">. Dodatni ESPB bodovi se obračunavaju po ceni prvog slušanja. </w:t>
      </w:r>
      <w:r w:rsidR="006B4F89">
        <w:rPr>
          <w:sz w:val="24"/>
          <w:szCs w:val="24"/>
          <w:lang w:val="sr-Latn-CS"/>
        </w:rPr>
        <w:t>S</w:t>
      </w:r>
      <w:r w:rsidR="00A7061D">
        <w:rPr>
          <w:sz w:val="24"/>
          <w:szCs w:val="24"/>
          <w:lang w:val="sr-Latn-CS"/>
        </w:rPr>
        <w:t>amofinansirajućim studentima biće</w:t>
      </w:r>
      <w:r w:rsidR="00187E63">
        <w:rPr>
          <w:sz w:val="24"/>
          <w:szCs w:val="24"/>
          <w:lang w:val="sr-Latn-CS"/>
        </w:rPr>
        <w:t>, po potrebi,</w:t>
      </w:r>
      <w:r w:rsidR="00A7061D">
        <w:rPr>
          <w:sz w:val="24"/>
          <w:szCs w:val="24"/>
          <w:lang w:val="sr-Latn-CS"/>
        </w:rPr>
        <w:t xml:space="preserve"> korigovan</w:t>
      </w:r>
      <w:r w:rsidR="00B762E1">
        <w:rPr>
          <w:sz w:val="24"/>
          <w:szCs w:val="24"/>
          <w:lang w:val="sr-Latn-CS"/>
        </w:rPr>
        <w:t>a</w:t>
      </w:r>
      <w:r w:rsidR="00A7061D">
        <w:rPr>
          <w:sz w:val="24"/>
          <w:szCs w:val="24"/>
          <w:lang w:val="sr-Latn-CS"/>
        </w:rPr>
        <w:t xml:space="preserve"> </w:t>
      </w:r>
      <w:r w:rsidR="00B762E1">
        <w:rPr>
          <w:sz w:val="24"/>
          <w:szCs w:val="24"/>
          <w:lang w:val="sr-Latn-CS"/>
        </w:rPr>
        <w:t>školarina</w:t>
      </w:r>
      <w:r w:rsidR="00A7061D">
        <w:rPr>
          <w:sz w:val="24"/>
          <w:szCs w:val="24"/>
          <w:lang w:val="sr-Latn-CS"/>
        </w:rPr>
        <w:t>.</w:t>
      </w:r>
      <w:r w:rsidR="000E6E32">
        <w:rPr>
          <w:sz w:val="24"/>
          <w:szCs w:val="24"/>
          <w:lang w:val="sr-Latn-CS"/>
        </w:rPr>
        <w:t xml:space="preserve"> </w:t>
      </w:r>
      <w:r w:rsidR="005A1CFD">
        <w:rPr>
          <w:sz w:val="24"/>
          <w:szCs w:val="24"/>
          <w:lang w:val="sr-Latn-CS"/>
        </w:rPr>
        <w:t>Obavezno</w:t>
      </w:r>
      <w:r w:rsidR="00631619">
        <w:rPr>
          <w:sz w:val="24"/>
          <w:szCs w:val="24"/>
          <w:lang w:val="sr-Latn-CS"/>
        </w:rPr>
        <w:t xml:space="preserve"> je da ažurirate elektronski ŠV-20 obrazac. </w:t>
      </w:r>
      <w:r w:rsidRPr="003A1B07">
        <w:rPr>
          <w:sz w:val="24"/>
          <w:szCs w:val="24"/>
          <w:lang w:val="sr-Latn-CS"/>
        </w:rPr>
        <w:t>Ukoliko ne izvršite biranje predmeta</w:t>
      </w:r>
      <w:r w:rsidR="00187E63">
        <w:rPr>
          <w:sz w:val="24"/>
          <w:szCs w:val="24"/>
          <w:lang w:val="sr-Latn-CS"/>
        </w:rPr>
        <w:t>,</w:t>
      </w:r>
      <w:r w:rsidRPr="003A1B07">
        <w:rPr>
          <w:sz w:val="24"/>
          <w:szCs w:val="24"/>
          <w:lang w:val="sr-Latn-CS"/>
        </w:rPr>
        <w:t xml:space="preserve"> nećete biti na spiskovima za slušanje nastave, vežbi,  polaganje kolokvijuma i polaganje ispita.</w:t>
      </w:r>
      <w:r w:rsidR="000E6E32">
        <w:rPr>
          <w:sz w:val="24"/>
          <w:szCs w:val="24"/>
          <w:lang w:val="sr-Latn-CS"/>
        </w:rPr>
        <w:t xml:space="preserve"> </w:t>
      </w:r>
      <w:r w:rsidR="00631619">
        <w:rPr>
          <w:sz w:val="24"/>
          <w:szCs w:val="24"/>
          <w:lang w:val="sr-Latn-CS"/>
        </w:rPr>
        <w:t>Predmeti se biraju tako što se prvo biraju predmeti koji nisu položeni iz prethodnih godina, pa tek onda novi predmet</w:t>
      </w:r>
      <w:r w:rsidR="00A7061D">
        <w:rPr>
          <w:sz w:val="24"/>
          <w:szCs w:val="24"/>
          <w:lang w:val="sr-Latn-CS"/>
        </w:rPr>
        <w:t xml:space="preserve">i za slušanje i, eventualno dodatni bodovi. </w:t>
      </w:r>
      <w:r w:rsidR="00187E63">
        <w:rPr>
          <w:sz w:val="24"/>
          <w:szCs w:val="24"/>
          <w:lang w:val="sr-Latn-CS"/>
        </w:rPr>
        <w:t xml:space="preserve">Sve do 31.10.2025. godine će biti otvorena baza za biranje, tako da možete da samostalno vršite izmene i birate predmete do tada. Studenti koji su menjali studijski program, ili vršili prelaz sa drugih fakulteta, reupis i slično i imaju problema sa prijavom ispita, treba da se obrate mejlom Službi za osnovne studije sa zahtevom za prijavu predmeta. </w:t>
      </w:r>
    </w:p>
    <w:p w:rsidR="00187E63" w:rsidRPr="00F04B85" w:rsidRDefault="00187E63" w:rsidP="00187E63">
      <w:pPr>
        <w:jc w:val="both"/>
        <w:rPr>
          <w:sz w:val="24"/>
          <w:szCs w:val="24"/>
          <w:u w:val="single"/>
          <w:lang w:val="sr-Latn-CS"/>
        </w:rPr>
      </w:pPr>
      <w:r w:rsidRPr="00F04B85">
        <w:rPr>
          <w:sz w:val="24"/>
          <w:szCs w:val="24"/>
          <w:u w:val="single"/>
          <w:lang w:val="sr-Latn-CS"/>
        </w:rPr>
        <w:t>Naknadni upis i naknadna prijava i odjava p</w:t>
      </w:r>
      <w:r w:rsidR="0068335F" w:rsidRPr="00F04B85">
        <w:rPr>
          <w:sz w:val="24"/>
          <w:szCs w:val="24"/>
          <w:u w:val="single"/>
          <w:lang w:val="sr-Latn-CS"/>
        </w:rPr>
        <w:t xml:space="preserve">redmeta za slušanje, </w:t>
      </w:r>
      <w:r w:rsidRPr="00F04B85">
        <w:rPr>
          <w:sz w:val="24"/>
          <w:szCs w:val="24"/>
          <w:u w:val="single"/>
          <w:lang w:val="sr-Latn-CS"/>
        </w:rPr>
        <w:t>plaćaju se po Cenovniku.</w:t>
      </w:r>
      <w:r w:rsidR="005A1CFD" w:rsidRPr="00F04B85">
        <w:rPr>
          <w:sz w:val="24"/>
          <w:szCs w:val="24"/>
          <w:u w:val="single"/>
          <w:lang w:val="sr-Latn-CS"/>
        </w:rPr>
        <w:t xml:space="preserve"> </w:t>
      </w:r>
    </w:p>
    <w:p w:rsidR="00A7061D" w:rsidRDefault="00A7061D" w:rsidP="00EB0C18">
      <w:pPr>
        <w:jc w:val="both"/>
        <w:rPr>
          <w:sz w:val="24"/>
          <w:szCs w:val="24"/>
          <w:lang w:val="sr-Latn-CS"/>
        </w:rPr>
      </w:pPr>
    </w:p>
    <w:p w:rsidR="00127139" w:rsidRDefault="00127139"/>
    <w:sectPr w:rsidR="00127139" w:rsidSect="001271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6F5"/>
    <w:multiLevelType w:val="hybridMultilevel"/>
    <w:tmpl w:val="0E784EB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0AD"/>
    <w:multiLevelType w:val="hybridMultilevel"/>
    <w:tmpl w:val="BDC831DE"/>
    <w:lvl w:ilvl="0" w:tplc="B62C373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6317"/>
    <w:multiLevelType w:val="hybridMultilevel"/>
    <w:tmpl w:val="51CC84D6"/>
    <w:lvl w:ilvl="0" w:tplc="BCE06D3E">
      <w:start w:val="4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37BEA"/>
    <w:multiLevelType w:val="hybridMultilevel"/>
    <w:tmpl w:val="06400F2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0508"/>
    <w:multiLevelType w:val="hybridMultilevel"/>
    <w:tmpl w:val="24B6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9"/>
    <w:rsid w:val="000019A1"/>
    <w:rsid w:val="00046447"/>
    <w:rsid w:val="000505CF"/>
    <w:rsid w:val="00081DF1"/>
    <w:rsid w:val="000C5C3B"/>
    <w:rsid w:val="000E6E32"/>
    <w:rsid w:val="00105CA7"/>
    <w:rsid w:val="00127139"/>
    <w:rsid w:val="001353D0"/>
    <w:rsid w:val="00151F87"/>
    <w:rsid w:val="00187E63"/>
    <w:rsid w:val="001B5877"/>
    <w:rsid w:val="0029153A"/>
    <w:rsid w:val="002C299D"/>
    <w:rsid w:val="00365899"/>
    <w:rsid w:val="003A352F"/>
    <w:rsid w:val="003F43E5"/>
    <w:rsid w:val="00452DB7"/>
    <w:rsid w:val="004A02CE"/>
    <w:rsid w:val="004D7441"/>
    <w:rsid w:val="004F1EA1"/>
    <w:rsid w:val="005270AF"/>
    <w:rsid w:val="00551B23"/>
    <w:rsid w:val="00553AA1"/>
    <w:rsid w:val="005A1CFD"/>
    <w:rsid w:val="005E2595"/>
    <w:rsid w:val="00631619"/>
    <w:rsid w:val="0068335F"/>
    <w:rsid w:val="006A53BB"/>
    <w:rsid w:val="006B4F89"/>
    <w:rsid w:val="006F607A"/>
    <w:rsid w:val="00770E85"/>
    <w:rsid w:val="007A2874"/>
    <w:rsid w:val="007B3152"/>
    <w:rsid w:val="007C5871"/>
    <w:rsid w:val="007E1974"/>
    <w:rsid w:val="007E5424"/>
    <w:rsid w:val="00814190"/>
    <w:rsid w:val="00876A10"/>
    <w:rsid w:val="008A0187"/>
    <w:rsid w:val="008C398D"/>
    <w:rsid w:val="009202DE"/>
    <w:rsid w:val="0098069B"/>
    <w:rsid w:val="009A2D6E"/>
    <w:rsid w:val="009B5CE0"/>
    <w:rsid w:val="009C64EA"/>
    <w:rsid w:val="00A338C3"/>
    <w:rsid w:val="00A7061D"/>
    <w:rsid w:val="00A84891"/>
    <w:rsid w:val="00AB036C"/>
    <w:rsid w:val="00AC04AF"/>
    <w:rsid w:val="00AD329B"/>
    <w:rsid w:val="00AE24D9"/>
    <w:rsid w:val="00B060FC"/>
    <w:rsid w:val="00B213C1"/>
    <w:rsid w:val="00B762E1"/>
    <w:rsid w:val="00B823C2"/>
    <w:rsid w:val="00BA1DCB"/>
    <w:rsid w:val="00BF0721"/>
    <w:rsid w:val="00BF6ABF"/>
    <w:rsid w:val="00C0543C"/>
    <w:rsid w:val="00CD1589"/>
    <w:rsid w:val="00CD6E8F"/>
    <w:rsid w:val="00CE506A"/>
    <w:rsid w:val="00D61681"/>
    <w:rsid w:val="00D7797C"/>
    <w:rsid w:val="00D77D92"/>
    <w:rsid w:val="00E04E8A"/>
    <w:rsid w:val="00E07128"/>
    <w:rsid w:val="00E33455"/>
    <w:rsid w:val="00E51DDD"/>
    <w:rsid w:val="00E7159F"/>
    <w:rsid w:val="00E8159F"/>
    <w:rsid w:val="00EB0C18"/>
    <w:rsid w:val="00EE41D8"/>
    <w:rsid w:val="00EF5256"/>
    <w:rsid w:val="00F04B85"/>
    <w:rsid w:val="00F21AE3"/>
    <w:rsid w:val="00F701E0"/>
    <w:rsid w:val="00F95687"/>
    <w:rsid w:val="00F96E8F"/>
    <w:rsid w:val="00FA0855"/>
    <w:rsid w:val="00FB226F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40A"/>
  <w15:docId w15:val="{1B24545E-60C2-4FFC-A7E2-2EA5566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39"/>
    <w:pPr>
      <w:spacing w:after="0" w:line="240" w:lineRule="auto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92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Jovana M. Carević</cp:lastModifiedBy>
  <cp:revision>5</cp:revision>
  <cp:lastPrinted>2022-09-20T11:18:00Z</cp:lastPrinted>
  <dcterms:created xsi:type="dcterms:W3CDTF">2025-10-22T18:09:00Z</dcterms:created>
  <dcterms:modified xsi:type="dcterms:W3CDTF">2025-10-22T18:36:00Z</dcterms:modified>
</cp:coreProperties>
</file>